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У </w:t>
      </w:r>
      <w:r w:rsidDel="00000000" w:rsidR="00000000" w:rsidRPr="00000000">
        <w:rPr>
          <w:rFonts w:ascii="Times New Roman" w:cs="Times New Roman" w:eastAsia="Times New Roman" w:hAnsi="Times New Roman"/>
          <w:b w:val="1"/>
          <w:bCs w:val="1"/>
          <w:rtl w:val="0"/>
        </w:rPr>
        <w:t xml:space="preserve">Міністерство Оборони України</w:t>
      </w:r>
    </w:p>
    <w:p w:rsidR="00000000" w:rsidDel="00000000" w:rsidP="00000000" w:rsidRDefault="00000000" w:rsidRPr="00000000" w14:paraId="00000002">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03168, м.Київ, проспект Повітряних Сил, 6</w:t>
      </w:r>
    </w:p>
    <w:p w:rsidR="00000000" w:rsidDel="00000000" w:rsidP="00000000" w:rsidRDefault="00000000" w:rsidRPr="00000000" w14:paraId="00000003">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Код ЄДРПОУ: 00034022</w:t>
      </w:r>
    </w:p>
    <w:p w:rsidR="00000000" w:rsidDel="00000000" w:rsidP="00000000" w:rsidRDefault="00000000" w:rsidRPr="00000000" w14:paraId="00000004">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w:t>
      </w:r>
      <w:hyperlink r:id="rId7">
        <w:r w:rsidDel="00000000" w:rsidR="00000000" w:rsidRPr="00000000">
          <w:rPr>
            <w:rFonts w:ascii="Times New Roman" w:cs="Times New Roman" w:eastAsia="Times New Roman" w:hAnsi="Times New Roman"/>
            <w:b w:val="1"/>
            <w:bCs w:val="1"/>
            <w:rtl w:val="0"/>
          </w:rPr>
          <w:t xml:space="preserve">zaputmou@post.mil.gov.ua</w:t>
        </w:r>
      </w:hyperlink>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 військову частину А 0000</w:t>
      </w:r>
    </w:p>
    <w:p w:rsidR="00000000" w:rsidDel="00000000" w:rsidP="00000000" w:rsidRDefault="00000000" w:rsidRPr="00000000" w14:paraId="00000007">
      <w:pPr>
        <w:jc w:val="left"/>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9">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Від </w:t>
      </w: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Адреса : </w:t>
      </w:r>
      <w:r w:rsidDel="00000000" w:rsidR="00000000" w:rsidRPr="00000000">
        <w:rPr>
          <w:rtl w:val="0"/>
        </w:rPr>
      </w:r>
    </w:p>
    <w:p w:rsidR="00000000" w:rsidDel="00000000" w:rsidP="00000000" w:rsidRDefault="00000000" w:rsidRPr="00000000" w14:paraId="0000000B">
      <w:pPr>
        <w:jc w:val="right"/>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rtl w:val="0"/>
        </w:rPr>
        <w:t xml:space="preserve"> E-mail: </w:t>
      </w:r>
      <w:r w:rsidDel="00000000" w:rsidR="00000000" w:rsidRPr="00000000">
        <w:rPr>
          <w:rtl w:val="0"/>
        </w:rPr>
      </w:r>
    </w:p>
    <w:p w:rsidR="00000000" w:rsidDel="00000000" w:rsidP="00000000" w:rsidRDefault="00000000" w:rsidRPr="00000000" w14:paraId="0000000C">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Засоби звʼязку: </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80" w:before="280" w:lineRule="auto"/>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Заява</w:t>
      </w:r>
    </w:p>
    <w:p w:rsidR="00000000" w:rsidDel="00000000" w:rsidP="00000000" w:rsidRDefault="00000000" w:rsidRPr="00000000" w14:paraId="00000010">
      <w:pPr>
        <w:spacing w:after="280" w:before="28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Звертаюсь з проханням про надання оновленої довідки про розмір мого грошового забезпечення за період служби з </w:t>
      </w:r>
      <w:r w:rsidDel="00000000" w:rsidR="00000000" w:rsidRPr="00000000">
        <w:rPr>
          <w:rFonts w:ascii="Times New Roman" w:cs="Times New Roman" w:eastAsia="Times New Roman" w:hAnsi="Times New Roman"/>
          <w:b w:val="1"/>
          <w:bCs w:val="1"/>
          <w:sz w:val="28"/>
          <w:szCs w:val="28"/>
          <w:rtl w:val="0"/>
        </w:rPr>
        <w:t xml:space="preserve">00</w:t>
      </w:r>
      <w:r w:rsidDel="00000000" w:rsidR="00000000" w:rsidRPr="00000000">
        <w:rPr>
          <w:rFonts w:ascii="Times New Roman" w:cs="Times New Roman" w:eastAsia="Times New Roman" w:hAnsi="Times New Roman"/>
          <w:b w:val="1"/>
          <w:bCs w:val="1"/>
          <w:color w:val="000000"/>
          <w:sz w:val="28"/>
          <w:szCs w:val="28"/>
          <w:rtl w:val="0"/>
        </w:rPr>
        <w:t xml:space="preserve">.0</w:t>
      </w:r>
      <w:r w:rsidDel="00000000" w:rsidR="00000000" w:rsidRPr="00000000">
        <w:rPr>
          <w:rFonts w:ascii="Times New Roman" w:cs="Times New Roman" w:eastAsia="Times New Roman" w:hAnsi="Times New Roman"/>
          <w:b w:val="1"/>
          <w:bCs w:val="1"/>
          <w:sz w:val="28"/>
          <w:szCs w:val="28"/>
          <w:rtl w:val="0"/>
        </w:rPr>
        <w:t xml:space="preserve">0.0</w:t>
      </w:r>
      <w:r w:rsidDel="00000000" w:rsidR="00000000" w:rsidRPr="00000000">
        <w:rPr>
          <w:rFonts w:ascii="Times New Roman" w:cs="Times New Roman" w:eastAsia="Times New Roman" w:hAnsi="Times New Roman"/>
          <w:b w:val="1"/>
          <w:bCs w:val="1"/>
          <w:color w:val="000000"/>
          <w:sz w:val="28"/>
          <w:szCs w:val="28"/>
          <w:rtl w:val="0"/>
        </w:rPr>
        <w:t xml:space="preserve">0</w:t>
      </w:r>
      <w:r w:rsidDel="00000000" w:rsidR="00000000" w:rsidRPr="00000000">
        <w:rPr>
          <w:rFonts w:ascii="Times New Roman" w:cs="Times New Roman" w:eastAsia="Times New Roman" w:hAnsi="Times New Roman"/>
          <w:b w:val="1"/>
          <w:bCs w:val="1"/>
          <w:sz w:val="28"/>
          <w:szCs w:val="28"/>
          <w:rtl w:val="0"/>
        </w:rPr>
        <w:t xml:space="preserve">00р. по 00.00.0000р. у </w:t>
      </w:r>
      <w:r w:rsidDel="00000000" w:rsidR="00000000" w:rsidRPr="00000000">
        <w:rPr>
          <w:rFonts w:ascii="Times New Roman" w:cs="Times New Roman" w:eastAsia="Times New Roman" w:hAnsi="Times New Roman"/>
          <w:b w:val="1"/>
          <w:bCs w:val="1"/>
          <w:color w:val="000000"/>
          <w:sz w:val="28"/>
          <w:szCs w:val="28"/>
          <w:rtl w:val="0"/>
        </w:rPr>
        <w:t xml:space="preserve">Військовій Частині</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А</w:t>
      </w:r>
      <w:r w:rsidDel="00000000" w:rsidR="00000000" w:rsidRPr="00000000">
        <w:rPr>
          <w:rFonts w:ascii="Times New Roman" w:cs="Times New Roman" w:eastAsia="Times New Roman" w:hAnsi="Times New Roman"/>
          <w:b w:val="1"/>
          <w:bCs w:val="1"/>
          <w:sz w:val="28"/>
          <w:szCs w:val="28"/>
          <w:rtl w:val="0"/>
        </w:rPr>
        <w:t xml:space="preserve">0000 </w:t>
      </w:r>
      <w:r w:rsidDel="00000000" w:rsidR="00000000" w:rsidRPr="00000000">
        <w:rPr>
          <w:rFonts w:ascii="Times New Roman" w:cs="Times New Roman" w:eastAsia="Times New Roman" w:hAnsi="Times New Roman"/>
          <w:color w:val="000000"/>
          <w:sz w:val="28"/>
          <w:szCs w:val="28"/>
          <w:rtl w:val="0"/>
        </w:rPr>
        <w:t xml:space="preserve">відповідно до вимог статей 43 і 63 Закону України від 09.04.1992 № 2262- XII "Про пенсійне забезпечення осіб, звільнених з військової служби, та деяких інших осіб", положень постанови Кабінету Міністрів України від 30.08.2017 №704 "Про грошове забезпечення військовослужбовців, осіб рядового і начальницького складу та деяких інших осіб", та з обов`язковим зазначенням відомостей про розміри щомісячних додаткових видів грошового забезпечення, а саме: надбавки за вислугу років </w:t>
      </w:r>
      <w:r w:rsidDel="00000000" w:rsidR="00000000" w:rsidRPr="00000000">
        <w:rPr>
          <w:rFonts w:ascii="Times New Roman" w:cs="Times New Roman" w:eastAsia="Times New Roman" w:hAnsi="Times New Roman"/>
          <w:color w:val="000000"/>
          <w:sz w:val="28"/>
          <w:szCs w:val="28"/>
          <w:highlight w:val="white"/>
          <w:rtl w:val="0"/>
        </w:rPr>
        <w:t xml:space="preserve">надбавка за умови режиму обмежень з допуском до ф. з , </w:t>
      </w:r>
      <w:r w:rsidDel="00000000" w:rsidR="00000000" w:rsidRPr="00000000">
        <w:rPr>
          <w:rFonts w:ascii="Times New Roman" w:cs="Times New Roman" w:eastAsia="Times New Roman" w:hAnsi="Times New Roman"/>
          <w:color w:val="000000"/>
          <w:sz w:val="28"/>
          <w:szCs w:val="28"/>
          <w:rtl w:val="0"/>
        </w:rPr>
        <w:t xml:space="preserve">надбавки за особливості проходження служби в розмірі , премії у розмірі.</w:t>
      </w:r>
    </w:p>
    <w:p w:rsidR="00000000" w:rsidDel="00000000" w:rsidP="00000000" w:rsidRDefault="00000000" w:rsidRPr="00000000" w14:paraId="00000011">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Відповідно, за період служби з </w:t>
      </w:r>
      <w:r w:rsidDel="00000000" w:rsidR="00000000" w:rsidRPr="00000000">
        <w:rPr>
          <w:rFonts w:ascii="Times New Roman" w:cs="Times New Roman" w:eastAsia="Times New Roman" w:hAnsi="Times New Roman"/>
          <w:b w:val="1"/>
          <w:bCs w:val="1"/>
          <w:sz w:val="28"/>
          <w:szCs w:val="28"/>
          <w:rtl w:val="0"/>
        </w:rPr>
        <w:t xml:space="preserve">00</w:t>
      </w:r>
      <w:r w:rsidDel="00000000" w:rsidR="00000000" w:rsidRPr="00000000">
        <w:rPr>
          <w:rFonts w:ascii="Times New Roman" w:cs="Times New Roman" w:eastAsia="Times New Roman" w:hAnsi="Times New Roman"/>
          <w:b w:val="1"/>
          <w:bCs w:val="1"/>
          <w:color w:val="000000"/>
          <w:sz w:val="28"/>
          <w:szCs w:val="28"/>
          <w:rtl w:val="0"/>
        </w:rPr>
        <w:t xml:space="preserve">.0</w:t>
      </w:r>
      <w:r w:rsidDel="00000000" w:rsidR="00000000" w:rsidRPr="00000000">
        <w:rPr>
          <w:rFonts w:ascii="Times New Roman" w:cs="Times New Roman" w:eastAsia="Times New Roman" w:hAnsi="Times New Roman"/>
          <w:b w:val="1"/>
          <w:bCs w:val="1"/>
          <w:sz w:val="28"/>
          <w:szCs w:val="28"/>
          <w:rtl w:val="0"/>
        </w:rPr>
        <w:t xml:space="preserve">0</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0000р. по 00.00.00р. у </w:t>
      </w:r>
      <w:r w:rsidDel="00000000" w:rsidR="00000000" w:rsidRPr="00000000">
        <w:rPr>
          <w:rFonts w:ascii="Times New Roman" w:cs="Times New Roman" w:eastAsia="Times New Roman" w:hAnsi="Times New Roman"/>
          <w:b w:val="1"/>
          <w:bCs w:val="1"/>
          <w:color w:val="000000"/>
          <w:sz w:val="28"/>
          <w:szCs w:val="28"/>
          <w:rtl w:val="0"/>
        </w:rPr>
        <w:t xml:space="preserve">Військовій Частині</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А</w:t>
      </w:r>
      <w:r w:rsidDel="00000000" w:rsidR="00000000" w:rsidRPr="00000000">
        <w:rPr>
          <w:rFonts w:ascii="Times New Roman" w:cs="Times New Roman" w:eastAsia="Times New Roman" w:hAnsi="Times New Roman"/>
          <w:b w:val="1"/>
          <w:bCs w:val="1"/>
          <w:sz w:val="28"/>
          <w:szCs w:val="28"/>
          <w:rtl w:val="0"/>
        </w:rPr>
        <w:t xml:space="preserve">0000</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мені було нараховано</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та виплачено</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грошове забезпечення, виходячи з розмірів посадового окладу та окладу за військовим званням, розрахованих шляхом множення розміру прожиткового мінімуму для працездатних осіб, встановлено законом на 01.01.2018 року, на відповідні тарифні коефіцієнти, тобто без врахуванням положень пункту 4 постанови Кабінету Міністрів України від 30.08.2017 року №704 «Про грошове забезпечення військовослужбовців, осіб рядового і начальницького складу та деяких інших осіб» (в редакції чинній з 29.01.2020 року). </w:t>
      </w:r>
    </w:p>
    <w:p w:rsidR="00000000" w:rsidDel="00000000" w:rsidP="00000000" w:rsidRDefault="00000000" w:rsidRPr="00000000" w14:paraId="00000012">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норм чинного законодавства, частиною четвертою статті 9 Закону України від 20.12.1991 № 2011-XII "Про соціальний і правовий захист військовослужбовців та членів їх сімей" (далі Закон № 2011-ХІІ) передбачено, що грошове забезпечення виплачується у розмірах, що встановлюються Кабінетом Міністрів України, та повинно забезпечувати достатні матеріальні умови для комплектування Збройних Сил України, інших утворених відповідно до законів України військових формувань та правоохоронних органів кваліфікованим особовим складом, враховувати характер, умови служби, стимулювати досягнення високих результатів у службовій діяльності.</w:t>
      </w:r>
    </w:p>
    <w:p w:rsidR="00000000" w:rsidDel="00000000" w:rsidP="00000000" w:rsidRDefault="00000000" w:rsidRPr="00000000" w14:paraId="00000013">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Кабінетом Міністрів України було прийнято Постанову від 30.08.2017 № 704 (далі Постанова № 704), якою затверджено тарифні сітки розрядів і коефіцієнтів посадових окладів, схеми тарифних розрядів, тарифних коефіцієнтів, додаткові види грошового забезпечення, розміри надбавки за вислугу років. </w:t>
      </w:r>
    </w:p>
    <w:p w:rsidR="00000000" w:rsidDel="00000000" w:rsidP="00000000" w:rsidRDefault="00000000" w:rsidRPr="00000000" w14:paraId="00000014">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Установлено, що грошове забезпечення військовослужбовців, осіб рядового і начальницького складу складається з посадового окладу, окладу за військовим (спеціальним) званням, щомісячних (підвищення посадового окладу, надбавки, доплати, винагороди, які мають постійний характер, премії) та одноразових додаткових видів грошового забезпечення.</w:t>
      </w:r>
    </w:p>
    <w:p w:rsidR="00000000" w:rsidDel="00000000" w:rsidP="00000000" w:rsidRDefault="00000000" w:rsidRPr="00000000" w14:paraId="00000015">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Пунктом 2 Постанови № 704 установлено, що грошове забезпечення військовослужбовців, осіб рядового і начальницького складу складається з посадового окладу, окладу за військовим (спеціальним) званням, щомісячних (підвищення посадового окладу, надбавки, доплати, винагороди, які мають постійний характер, премії) та одноразових додаткових видів грошового забезпечення.</w:t>
      </w:r>
    </w:p>
    <w:p w:rsidR="00000000" w:rsidDel="00000000" w:rsidP="00000000" w:rsidRDefault="00000000" w:rsidRPr="00000000" w14:paraId="00000016">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Додатком 1 до Постанови № 704 визначено тарифну сітку розрядів і коефіцієнтів посадових окладів військовослужбовців з числа осіб рядового, сержантського і старшинського складу, офіцерського складу (крім військовослужбовців строкової військової служби), осіб рядового і начальницького складу.</w:t>
      </w:r>
    </w:p>
    <w:p w:rsidR="00000000" w:rsidDel="00000000" w:rsidP="00000000" w:rsidRDefault="00000000" w:rsidRPr="00000000" w14:paraId="00000017">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Пунктом 4 Постанови № 704 (в первинній редакції на дату прийняття) встановлено, що розміри посадових окладів, окладів за військовими (спеціальними) званнями військовослужбовців, осіб рядового та начальницького складу визначаються шляхом множення розміру прожиткового мінімуму для працездатних осіб, встановленого законом на 1 січня календарного року (але не менше 50 відсотків розміру мінімальної заробітної плати, встановленого законом на 1 січня календарного року), на відповідний тарифний коефіцієнт згідно з додатками 1, 12, 13, 14.</w:t>
      </w:r>
    </w:p>
    <w:p w:rsidR="00000000" w:rsidDel="00000000" w:rsidP="00000000" w:rsidRDefault="00000000" w:rsidRPr="00000000" w14:paraId="00000018">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додатками 1, 12, 13, 14 до Постанови № 704 посадові оклади за розрядами тарифної сітки та оклади за військовим (спеціальним) званням визначаються шляхом множення розміру прожиткового мінімуму для працездатних осіб, встановленого законом на 1 січня календарного року (але не менше 50 відсотків розміру мінімальної заробітної плати, встановленого законом на 1 січня календарного року), на відповідний тарифний коефіцієнт.</w:t>
      </w:r>
    </w:p>
    <w:p w:rsidR="00000000" w:rsidDel="00000000" w:rsidP="00000000" w:rsidRDefault="00000000" w:rsidRPr="00000000" w14:paraId="00000019">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21.02.2018 Кабінет Міністрів України прийняв Постанову № 103, пунктом 6 якої внесено зміни до Постанов Кабінету Міністрів України, що додаються. Зокрема, у Постанові № 704 пункт 4 викладено в такій редакції: </w:t>
      </w:r>
    </w:p>
    <w:p w:rsidR="00000000" w:rsidDel="00000000" w:rsidP="00000000" w:rsidRDefault="00000000" w:rsidRPr="00000000" w14:paraId="0000001A">
      <w:pPr>
        <w:spacing w:after="0" w:lineRule="auto"/>
        <w:ind w:left="-566" w:firstLine="4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4. Установити, що розміри посадових окладів, окладів за військовими (спеціальними) званнями військовослужбовців, осіб рядового та начальницького складу визначаються шляхом множення розміру прожиткового мінімуму для працездатних осіб, встановленого законом на 1 січня 2018 р., на відповідний тарифний коефіцієнт згідно з додатками 1, 12, 13 і 14".</w:t>
      </w:r>
    </w:p>
    <w:p w:rsidR="00000000" w:rsidDel="00000000" w:rsidP="00000000" w:rsidRDefault="00000000" w:rsidRPr="00000000" w14:paraId="0000001B">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Проте, Постановою Шостого апеляційного адміністративного суду від 29.01.2020 у справі № 826/6453/18 визнано протиправним та скасовано пункт 6 Постанови Кабінету Міністрів України від 21.02.2018 № 103 "Про перерахунок пенсій особам, які звільнені з військової служби, та деяким іншим категоріям осіб".</w:t>
      </w:r>
    </w:p>
    <w:p w:rsidR="00000000" w:rsidDel="00000000" w:rsidP="00000000" w:rsidRDefault="00000000" w:rsidRPr="00000000" w14:paraId="0000001C">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цього, варто звернутись до практики Верховного Суду у подібних правововідносинах.</w:t>
      </w:r>
    </w:p>
    <w:p w:rsidR="00000000" w:rsidDel="00000000" w:rsidP="00000000" w:rsidRDefault="00000000" w:rsidRPr="00000000" w14:paraId="0000001D">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висновки Верховного Суду викладені в постанові від 02.08.2022 у справі № 440/6017/21 за наслідками розгляду судових справ з аналогічними фактичними обставинами справи:</w:t>
      </w:r>
    </w:p>
    <w:p w:rsidR="00000000" w:rsidDel="00000000" w:rsidP="00000000" w:rsidRDefault="00000000" w:rsidRPr="00000000" w14:paraId="0000001E">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62. З урахуванням наведеного, колегія суддів дійшла таких висновків щодо застосування норм права у подібних правовідносинах:</w:t>
      </w:r>
      <w:r w:rsidDel="00000000" w:rsidR="00000000" w:rsidRPr="00000000">
        <w:rPr>
          <w:rtl w:val="0"/>
        </w:rPr>
      </w:r>
    </w:p>
    <w:p w:rsidR="00000000" w:rsidDel="00000000" w:rsidP="00000000" w:rsidRDefault="00000000" w:rsidRPr="00000000" w14:paraId="0000001F">
      <w:pPr>
        <w:spacing w:after="0" w:lineRule="auto"/>
        <w:ind w:left="-566" w:firstLine="4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(1) з 01.01.2020 положення пункту 4 постанови №704 в частині визначення розрахунковою величиною для визначення посадових окладів, розрахованих згідно з постановою №704 прожиткового мінімуму для працездатних осіб, встановленого законом на 1 січня 2018 року </w:t>
      </w:r>
      <w:r w:rsidDel="00000000" w:rsidR="00000000" w:rsidRPr="00000000">
        <w:rPr>
          <w:rFonts w:ascii="Times New Roman" w:cs="Times New Roman" w:eastAsia="Times New Roman" w:hAnsi="Times New Roman"/>
          <w:i w:val="1"/>
          <w:iCs w:val="1"/>
          <w:color w:val="000000"/>
          <w:sz w:val="28"/>
          <w:szCs w:val="28"/>
          <w:u w:val="single"/>
          <w:rtl w:val="0"/>
        </w:rPr>
        <w:t xml:space="preserve">не відповідає правовим актам вищої юридичної сили</w:t>
      </w:r>
      <w:r w:rsidDel="00000000" w:rsidR="00000000" w:rsidRPr="00000000">
        <w:rPr>
          <w:rFonts w:ascii="Times New Roman" w:cs="Times New Roman" w:eastAsia="Times New Roman" w:hAnsi="Times New Roman"/>
          <w:i w:val="1"/>
          <w:iCs w:val="1"/>
          <w:color w:val="000000"/>
          <w:sz w:val="28"/>
          <w:szCs w:val="28"/>
          <w:rtl w:val="0"/>
        </w:rPr>
        <w:t xml:space="preserve">, згідно із якими прожитковий мінімум як базовий державний стандарт був змінений на відповідний рік у тому числі як розрахункова </w:t>
      </w:r>
      <w:r w:rsidDel="00000000" w:rsidR="00000000" w:rsidRPr="00000000">
        <w:rPr>
          <w:rFonts w:ascii="Times New Roman" w:cs="Times New Roman" w:eastAsia="Times New Roman" w:hAnsi="Times New Roman"/>
          <w:i w:val="1"/>
          <w:iCs w:val="1"/>
          <w:sz w:val="28"/>
          <w:szCs w:val="28"/>
          <w:rtl w:val="0"/>
        </w:rPr>
        <w:t xml:space="preserve">величина</w:t>
      </w:r>
      <w:r w:rsidDel="00000000" w:rsidR="00000000" w:rsidRPr="00000000">
        <w:rPr>
          <w:rFonts w:ascii="Times New Roman" w:cs="Times New Roman" w:eastAsia="Times New Roman" w:hAnsi="Times New Roman"/>
          <w:i w:val="1"/>
          <w:iCs w:val="1"/>
          <w:color w:val="000000"/>
          <w:sz w:val="28"/>
          <w:szCs w:val="28"/>
          <w:rtl w:val="0"/>
        </w:rPr>
        <w:t xml:space="preserve"> для визначення посадових окладів, заробітної плати, грошового забезпечення працівників державних органів;</w:t>
      </w:r>
    </w:p>
    <w:p w:rsidR="00000000" w:rsidDel="00000000" w:rsidP="00000000" w:rsidRDefault="00000000" w:rsidRPr="00000000" w14:paraId="00000020">
      <w:pPr>
        <w:spacing w:after="0" w:lineRule="auto"/>
        <w:ind w:left="-566" w:firstLine="420"/>
        <w:jc w:val="both"/>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відповідно до положень Закону України від 05.10.2000 № 2017-III Про державні соціальні стандарти та державні соціальні гарантії (далі - Закон № 2017-III) визначає правові засади формування та застосування державних соціальних стандартів і нормативів, спрямованих на реалізацію закріплених Конституцією України та законами України основних соціальних гарантій, згідно із положеннями статті 1 якого державні соціальні стандарти - це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соціально-культурного обслуговування, охорони здоров`я та освіти (стаття 6 Закону № 2017-III). </w:t>
      </w:r>
      <w:r w:rsidDel="00000000" w:rsidR="00000000" w:rsidRPr="00000000">
        <w:rPr>
          <w:rtl w:val="0"/>
        </w:rPr>
      </w:r>
    </w:p>
    <w:p w:rsidR="00000000" w:rsidDel="00000000" w:rsidP="00000000" w:rsidRDefault="00000000" w:rsidRPr="00000000" w14:paraId="00000021">
      <w:pPr>
        <w:spacing w:after="0" w:lineRule="auto"/>
        <w:ind w:left="-566" w:firstLine="4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Прожитковий мінімум щороку затверджується Верховною Радою України в законі про Державний бюджет України на відповідний рік.</w:t>
      </w:r>
    </w:p>
    <w:p w:rsidR="00000000" w:rsidDel="00000000" w:rsidP="00000000" w:rsidRDefault="00000000" w:rsidRPr="00000000" w14:paraId="00000022">
      <w:pPr>
        <w:spacing w:after="0" w:lineRule="auto"/>
        <w:ind w:left="-566" w:firstLine="4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Відповідно: </w:t>
      </w:r>
    </w:p>
    <w:p w:rsidR="00000000" w:rsidDel="00000000" w:rsidP="00000000" w:rsidRDefault="00000000" w:rsidRPr="00000000" w14:paraId="00000023">
      <w:pPr>
        <w:spacing w:after="0" w:lineRule="auto"/>
        <w:ind w:left="-566"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Статтею 7 Закону України "Про Державний бюджет України на 2022 рік" встановлено прожитковий мінімум для працездатних осіб з 1 січня 2022 року в розмірі 2481,00</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гривень.</w:t>
      </w:r>
    </w:p>
    <w:p w:rsidR="00000000" w:rsidDel="00000000" w:rsidP="00000000" w:rsidRDefault="00000000" w:rsidRPr="00000000" w14:paraId="00000024">
      <w:pPr>
        <w:spacing w:after="0" w:lineRule="auto"/>
        <w:ind w:left="-566" w:firstLine="4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 основі вищезазначеного, </w:t>
      </w:r>
    </w:p>
    <w:p w:rsidR="00000000" w:rsidDel="00000000" w:rsidP="00000000" w:rsidRDefault="00000000" w:rsidRPr="00000000" w14:paraId="00000025">
      <w:pPr>
        <w:spacing w:after="0" w:lineRule="auto"/>
        <w:ind w:left="-566" w:firstLine="4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ПРОШУ :</w:t>
      </w:r>
    </w:p>
    <w:p w:rsidR="00000000" w:rsidDel="00000000" w:rsidP="00000000" w:rsidRDefault="00000000" w:rsidRPr="00000000" w14:paraId="00000026">
      <w:pPr>
        <w:spacing w:after="0" w:lineRule="auto"/>
        <w:ind w:left="-566" w:firstLine="4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1.Надати оновлену довідку про розмір мого грошового забезпечення за період проходження військової служби:</w:t>
      </w:r>
    </w:p>
    <w:p w:rsidR="00000000" w:rsidDel="00000000" w:rsidP="00000000" w:rsidRDefault="00000000" w:rsidRPr="00000000" w14:paraId="00000027">
      <w:pPr>
        <w:numPr>
          <w:ilvl w:val="0"/>
          <w:numId w:val="1"/>
        </w:numPr>
        <w:spacing w:after="0" w:lineRule="auto"/>
        <w:ind w:left="-566" w:firstLine="4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 Військовій Частині А ….(з 00.00.0000- 00.00.0000)</w:t>
      </w:r>
    </w:p>
    <w:p w:rsidR="00000000" w:rsidDel="00000000" w:rsidP="00000000" w:rsidRDefault="00000000" w:rsidRPr="00000000" w14:paraId="00000028">
      <w:pPr>
        <w:spacing w:after="0" w:lineRule="auto"/>
        <w:ind w:left="72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9">
      <w:pPr>
        <w:spacing w:after="0" w:lineRule="auto"/>
        <w:ind w:left="-566" w:firstLine="420"/>
        <w:jc w:val="both"/>
        <w:rPr>
          <w:rFonts w:ascii="Times New Roman" w:cs="Times New Roman" w:eastAsia="Times New Roman" w:hAnsi="Times New Roman"/>
          <w:b w:val="1"/>
          <w:bCs w:val="1"/>
          <w:color w:val="000000"/>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Відповідно, на </w:t>
      </w:r>
      <w:r w:rsidDel="00000000" w:rsidR="00000000" w:rsidRPr="00000000">
        <w:rPr>
          <w:rFonts w:ascii="Times New Roman" w:cs="Times New Roman" w:eastAsia="Times New Roman" w:hAnsi="Times New Roman"/>
          <w:b w:val="1"/>
          <w:bCs w:val="1"/>
          <w:color w:val="000000"/>
          <w:sz w:val="28"/>
          <w:szCs w:val="28"/>
          <w:rtl w:val="0"/>
        </w:rPr>
        <w:t xml:space="preserve">основі положень Постанови Шостого апеляційного адміністративного суду у справі №826/6453/18 від 29.01.2020 р., якою було скасовано пункт 6 Постанови №103, тим самим було відновлено процес розрахунку грошового забезпечення відповідно до прожиткового мінімуму на 1 січня календарного року.</w:t>
      </w:r>
      <w:r w:rsidDel="00000000" w:rsidR="00000000" w:rsidRPr="00000000">
        <w:rPr>
          <w:rtl w:val="0"/>
        </w:rPr>
      </w:r>
    </w:p>
    <w:p w:rsidR="00000000" w:rsidDel="00000000" w:rsidP="00000000" w:rsidRDefault="00000000" w:rsidRPr="00000000" w14:paraId="0000002A">
      <w:pPr>
        <w:spacing w:after="280" w:before="280" w:lineRule="auto"/>
        <w:ind w:left="-566" w:firstLine="4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Ця довідка необхідна для подання до Пенсійного фонду України з метою проведення перерахунку пенсії відповідно до Закону України від 09.04.1992 № 2262- XII «Про пенсійне забезпечення осіб, звільнених з військової служби, та деяких інших осіб».</w:t>
      </w:r>
      <w:r w:rsidDel="00000000" w:rsidR="00000000" w:rsidRPr="00000000">
        <w:rPr>
          <w:rtl w:val="0"/>
        </w:rPr>
      </w:r>
    </w:p>
    <w:p w:rsidR="00000000" w:rsidDel="00000000" w:rsidP="00000000" w:rsidRDefault="00000000" w:rsidRPr="00000000" w14:paraId="0000002B">
      <w:pPr>
        <w:ind w:left="-566" w:right="-4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Збройні Сили України згідно з законом України "Про Збройні Сили України" є військовим формуванням і до суб'єктів владних повноважень не відносяться, вони не є розпорядниками інформації щодо електронних адрес військових частин. </w:t>
      </w:r>
    </w:p>
    <w:p w:rsidR="00000000" w:rsidDel="00000000" w:rsidP="00000000" w:rsidRDefault="00000000" w:rsidRPr="00000000" w14:paraId="0000002C">
      <w:pPr>
        <w:ind w:left="-566" w:right="-40" w:firstLine="420"/>
        <w:jc w:val="both"/>
        <w:rPr>
          <w:rFonts w:ascii="Times New Roman" w:cs="Times New Roman" w:eastAsia="Times New Roman" w:hAnsi="Times New Roman"/>
          <w:sz w:val="28"/>
          <w:szCs w:val="28"/>
        </w:rPr>
      </w:pPr>
      <w:bookmarkStart w:colFirst="0" w:colLast="0" w:name="_heading=h.xr6iy1hzieiz" w:id="0"/>
      <w:bookmarkEnd w:id="0"/>
      <w:r w:rsidDel="00000000" w:rsidR="00000000" w:rsidRPr="00000000">
        <w:rPr>
          <w:rFonts w:ascii="Times New Roman" w:cs="Times New Roman" w:eastAsia="Times New Roman" w:hAnsi="Times New Roman"/>
          <w:sz w:val="28"/>
          <w:szCs w:val="28"/>
          <w:rtl w:val="0"/>
        </w:rPr>
        <w:t xml:space="preserve">Разом з цим,  Міністерство оборони України, яке є суб'єктом владних повноважень, відповідальне за опрацювання відповідних звернень громадян (листування) організовано у відповідності до наказу Міністра оборони України від 28.12.2016 №735 "Про затвердження Інструкції про організацію розгляду звернень та проведення особистого прийому громадян у Міністерстві оборони України та Збройних Силах України" та наказу Міністерства оборони України від 26.07.2018 №370 "Про затвердження Інструкції з діловодства та документування управлінської інформації в електронній формі в Міністерстві оборони України та Генеральному штабі Збройних Сил України". </w:t>
      </w:r>
    </w:p>
    <w:p w:rsidR="00000000" w:rsidDel="00000000" w:rsidP="00000000" w:rsidRDefault="00000000" w:rsidRPr="00000000" w14:paraId="0000002D">
      <w:pPr>
        <w:ind w:left="-566" w:right="-4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Враховуючи, що електронної адреси військової частини А0000</w:t>
      </w:r>
      <w:r w:rsidDel="00000000" w:rsidR="00000000" w:rsidRPr="00000000">
        <w:rPr>
          <w:rFonts w:ascii="Times New Roman" w:cs="Times New Roman" w:eastAsia="Times New Roman" w:hAnsi="Times New Roman"/>
          <w:b w:val="1"/>
          <w:bCs w:val="1"/>
          <w:color w:val="000000"/>
          <w:sz w:val="28"/>
          <w:szCs w:val="28"/>
          <w:highlight w:val="white"/>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немає у вільному доступі, про</w:t>
      </w:r>
      <w:r w:rsidDel="00000000" w:rsidR="00000000" w:rsidRPr="00000000">
        <w:rPr>
          <w:rFonts w:ascii="Times New Roman" w:cs="Times New Roman" w:eastAsia="Times New Roman" w:hAnsi="Times New Roman"/>
          <w:b w:val="1"/>
          <w:bCs w:val="1"/>
          <w:sz w:val="28"/>
          <w:szCs w:val="28"/>
          <w:rtl w:val="0"/>
        </w:rPr>
        <w:t xml:space="preserve">шу</w:t>
      </w:r>
      <w:r w:rsidDel="00000000" w:rsidR="00000000" w:rsidRPr="00000000">
        <w:rPr>
          <w:rFonts w:ascii="Times New Roman" w:cs="Times New Roman" w:eastAsia="Times New Roman" w:hAnsi="Times New Roman"/>
          <w:b w:val="1"/>
          <w:bCs w:val="1"/>
          <w:color w:val="000000"/>
          <w:sz w:val="28"/>
          <w:szCs w:val="28"/>
          <w:rtl w:val="0"/>
        </w:rPr>
        <w:t xml:space="preserve"> направити </w:t>
      </w:r>
      <w:r w:rsidDel="00000000" w:rsidR="00000000" w:rsidRPr="00000000">
        <w:rPr>
          <w:rFonts w:ascii="Times New Roman" w:cs="Times New Roman" w:eastAsia="Times New Roman" w:hAnsi="Times New Roman"/>
          <w:b w:val="1"/>
          <w:bCs w:val="1"/>
          <w:sz w:val="28"/>
          <w:szCs w:val="28"/>
          <w:rtl w:val="0"/>
        </w:rPr>
        <w:t xml:space="preserve">заяву </w:t>
      </w:r>
      <w:r w:rsidDel="00000000" w:rsidR="00000000" w:rsidRPr="00000000">
        <w:rPr>
          <w:rFonts w:ascii="Times New Roman" w:cs="Times New Roman" w:eastAsia="Times New Roman" w:hAnsi="Times New Roman"/>
          <w:b w:val="1"/>
          <w:bCs w:val="1"/>
          <w:color w:val="000000"/>
          <w:sz w:val="28"/>
          <w:szCs w:val="28"/>
          <w:rtl w:val="0"/>
        </w:rPr>
        <w:t xml:space="preserve">за належністю.</w:t>
      </w:r>
      <w:r w:rsidDel="00000000" w:rsidR="00000000" w:rsidRPr="00000000">
        <w:rPr>
          <w:rtl w:val="0"/>
        </w:rPr>
      </w:r>
    </w:p>
    <w:p w:rsidR="00000000" w:rsidDel="00000000" w:rsidP="00000000" w:rsidRDefault="00000000" w:rsidRPr="00000000" w14:paraId="0000002E">
      <w:pPr>
        <w:spacing w:after="0" w:line="240" w:lineRule="auto"/>
        <w:ind w:left="-566" w:right="4" w:firstLine="420"/>
        <w:jc w:val="both"/>
        <w:rPr>
          <w:rFonts w:ascii="Times New Roman" w:cs="Times New Roman" w:eastAsia="Times New Roman" w:hAnsi="Times New Roman"/>
          <w:b w:val="1"/>
          <w:bCs w:val="1"/>
          <w:sz w:val="28"/>
          <w:szCs w:val="28"/>
        </w:rPr>
      </w:pPr>
      <w:bookmarkStart w:colFirst="0" w:colLast="0" w:name="_heading=h.vgxggflbjhdh" w:id="1"/>
      <w:bookmarkEnd w:id="1"/>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Додатки: </w:t>
      </w:r>
    </w:p>
    <w:p w:rsidR="00000000" w:rsidDel="00000000" w:rsidP="00000000" w:rsidRDefault="00000000" w:rsidRPr="00000000" w14:paraId="0000003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1.Наказ про звільнення з військової слу</w:t>
      </w:r>
      <w:r w:rsidDel="00000000" w:rsidR="00000000" w:rsidRPr="00000000">
        <w:rPr>
          <w:rFonts w:ascii="Times New Roman" w:cs="Times New Roman" w:eastAsia="Times New Roman" w:hAnsi="Times New Roman"/>
          <w:sz w:val="28"/>
          <w:szCs w:val="28"/>
          <w:rtl w:val="0"/>
        </w:rPr>
        <w:t xml:space="preserve">жби </w:t>
      </w:r>
    </w:p>
    <w:p w:rsidR="00000000" w:rsidDel="00000000" w:rsidP="00000000" w:rsidRDefault="00000000" w:rsidRPr="00000000" w14:paraId="00000031">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Копія Військового квитка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bookmarkStart w:colFirst="0" w:colLast="0" w:name="_heading=h.qy83pcfrmjnj"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Копія відповіді на адвокатський запит від Головного управління Пенсійного Фонду України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4.Копія протоколів розрахунку пенсії </w:t>
      </w: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.Копія згоди на обробку персональних даних. </w:t>
      </w:r>
    </w:p>
    <w:p w:rsidR="00000000" w:rsidDel="00000000" w:rsidP="00000000" w:rsidRDefault="00000000" w:rsidRPr="00000000" w14:paraId="00000035">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color w:val="000000"/>
          <w:sz w:val="28"/>
          <w:szCs w:val="28"/>
          <w:rtl w:val="0"/>
        </w:rPr>
        <w:t xml:space="preserve">Дата:                                                                             Підпис: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sectPr>
      <w:pgSz w:h="16838" w:w="11906" w:orient="portrait"/>
      <w:pgMar w:bottom="1440" w:top="1440" w:left="1440" w:right="139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a4">
    <w:name w:val="Hyperlink"/>
    <w:basedOn w:val="a0"/>
    <w:uiPriority w:val="99"/>
    <w:unhideWhenUsed w:val="1"/>
    <w:rsid w:val="373FF2E8"/>
    <w:rPr>
      <w:color w:val="467886"/>
      <w:u w:val="single"/>
    </w:rPr>
  </w:style>
  <w:style w:type="paragraph" w:styleId="a6">
    <w:name w:val="Normal (Web)"/>
    <w:basedOn w:val="a"/>
    <w:uiPriority w:val="99"/>
    <w:unhideWhenUsed w:val="1"/>
    <w:rsid w:val="005A0D34"/>
    <w:pPr>
      <w:spacing w:after="100" w:afterAutospacing="1" w:before="100" w:beforeAutospacing="1" w:line="240" w:lineRule="auto"/>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aputmou@post.mil.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Mi8jtezPNh/kYYVl6Bl7rN/2A==">CgMxLjAyDmgueHI2aXkxaHppZWl6Mg5oLnZneGdnZmxiamhkaDIOaC5xeTgzcGNmcm1qbmo4AHIhMTlUXzBTVzFPbDUzakp1Z1RrSVJfS09BX2VUUldZcUJl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2025-06-16T14:30:00Z</dcterms:created>
  <dc:creator>Мирослава Маслянка</dc:creator>
</cp:coreProperties>
</file>